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3545" w14:textId="77777777" w:rsidR="0098715E" w:rsidRDefault="0098715E" w:rsidP="0098715E">
      <w:pPr>
        <w:pStyle w:val="Title"/>
        <w:jc w:val="center"/>
      </w:pPr>
      <w:bookmarkStart w:id="0" w:name="_heading=h.s03qu1eepxcl" w:colFirst="0" w:colLast="0"/>
      <w:bookmarkEnd w:id="0"/>
      <w:r>
        <w:rPr>
          <w:sz w:val="48"/>
          <w:szCs w:val="48"/>
        </w:rPr>
        <w:t>FACILITATORS GUIDE</w:t>
      </w:r>
    </w:p>
    <w:p w14:paraId="21859067" w14:textId="77777777" w:rsidR="0098715E" w:rsidRDefault="0098715E" w:rsidP="0098715E">
      <w:pPr>
        <w:jc w:val="center"/>
      </w:pPr>
      <w:r>
        <w:t xml:space="preserve">By following this guide, facilitators will be equipped to deliver </w:t>
      </w:r>
      <w:hyperlink r:id="rId7">
        <w:r>
          <w:rPr>
            <w:color w:val="1155CC"/>
            <w:u w:val="single"/>
          </w:rPr>
          <w:t>the course</w:t>
        </w:r>
      </w:hyperlink>
      <w:r>
        <w:t xml:space="preserve"> effectively, ensuring that participants are engaged, informed, and able to apply their learning to real-world scenarios.</w:t>
      </w:r>
    </w:p>
    <w:p w14:paraId="1C018E78" w14:textId="77777777" w:rsidR="0098715E" w:rsidRDefault="0098715E" w:rsidP="0098715E">
      <w:pPr>
        <w:pStyle w:val="Heading4"/>
      </w:pPr>
      <w:bookmarkStart w:id="1" w:name="_heading=h.gjdgxs" w:colFirst="0" w:colLast="0"/>
      <w:bookmarkEnd w:id="1"/>
      <w:r>
        <w:t>I. Introduction</w:t>
      </w:r>
    </w:p>
    <w:p w14:paraId="02C35D46" w14:textId="77777777" w:rsidR="0098715E" w:rsidRDefault="0098715E" w:rsidP="0098715E">
      <w:pPr>
        <w:pStyle w:val="Heading5"/>
        <w:numPr>
          <w:ilvl w:val="0"/>
          <w:numId w:val="2"/>
        </w:numPr>
      </w:pPr>
      <w:bookmarkStart w:id="2" w:name="_heading=h.gbzvnd6oycbl" w:colFirst="0" w:colLast="0"/>
      <w:bookmarkEnd w:id="2"/>
      <w:r>
        <w:t>Welcome and Orientation</w:t>
      </w:r>
    </w:p>
    <w:tbl>
      <w:tblPr>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1"/>
        <w:gridCol w:w="6243"/>
      </w:tblGrid>
      <w:tr w:rsidR="0098715E" w:rsidRPr="0098715E" w14:paraId="72FCF598" w14:textId="77777777" w:rsidTr="00AD43F1">
        <w:trPr>
          <w:trHeight w:val="2494"/>
        </w:trPr>
        <w:tc>
          <w:tcPr>
            <w:tcW w:w="3161" w:type="dxa"/>
            <w:tcMar>
              <w:top w:w="100" w:type="dxa"/>
              <w:left w:w="100" w:type="dxa"/>
              <w:bottom w:w="100" w:type="dxa"/>
              <w:right w:w="100" w:type="dxa"/>
            </w:tcMar>
          </w:tcPr>
          <w:p w14:paraId="49C5EFB6" w14:textId="77777777" w:rsidR="0098715E" w:rsidRPr="0098715E" w:rsidRDefault="0098715E" w:rsidP="00AD43F1">
            <w:pPr>
              <w:pStyle w:val="Heading6"/>
              <w:rPr>
                <w:i w:val="0"/>
                <w:sz w:val="20"/>
                <w:szCs w:val="20"/>
              </w:rPr>
            </w:pPr>
            <w:r w:rsidRPr="0098715E">
              <w:rPr>
                <w:i w:val="0"/>
                <w:sz w:val="20"/>
                <w:szCs w:val="20"/>
              </w:rPr>
              <w:t>Welcome participants</w:t>
            </w:r>
          </w:p>
          <w:p w14:paraId="4989E518" w14:textId="77777777" w:rsidR="0098715E" w:rsidRPr="0098715E" w:rsidRDefault="0098715E" w:rsidP="00AD43F1">
            <w:pPr>
              <w:numPr>
                <w:ilvl w:val="0"/>
                <w:numId w:val="1"/>
              </w:numPr>
              <w:rPr>
                <w:rFonts w:ascii="Aptos" w:eastAsia="Aptos" w:hAnsi="Aptos" w:cs="Aptos"/>
                <w:sz w:val="20"/>
                <w:szCs w:val="20"/>
              </w:rPr>
            </w:pPr>
            <w:r w:rsidRPr="0098715E">
              <w:rPr>
                <w:rFonts w:ascii="Aptos" w:eastAsia="Aptos" w:hAnsi="Aptos" w:cs="Aptos"/>
                <w:sz w:val="20"/>
                <w:szCs w:val="20"/>
              </w:rPr>
              <w:t>Begin with a warm welcome to all participants.</w:t>
            </w:r>
          </w:p>
          <w:p w14:paraId="4A26AA9A" w14:textId="77777777" w:rsidR="0098715E" w:rsidRPr="0098715E" w:rsidRDefault="0098715E" w:rsidP="00AD43F1">
            <w:pPr>
              <w:numPr>
                <w:ilvl w:val="0"/>
                <w:numId w:val="1"/>
              </w:numPr>
              <w:rPr>
                <w:rFonts w:ascii="Aptos" w:eastAsia="Aptos" w:hAnsi="Aptos" w:cs="Aptos"/>
                <w:sz w:val="20"/>
                <w:szCs w:val="20"/>
              </w:rPr>
            </w:pPr>
            <w:r w:rsidRPr="0098715E">
              <w:rPr>
                <w:rFonts w:ascii="Aptos" w:eastAsia="Aptos" w:hAnsi="Aptos" w:cs="Aptos"/>
                <w:sz w:val="20"/>
                <w:szCs w:val="20"/>
              </w:rPr>
              <w:t>Introduce yourself as the facilitator.</w:t>
            </w:r>
          </w:p>
          <w:p w14:paraId="486BAA77" w14:textId="77777777" w:rsidR="0098715E" w:rsidRPr="0098715E" w:rsidRDefault="0098715E" w:rsidP="00AD43F1">
            <w:pPr>
              <w:numPr>
                <w:ilvl w:val="0"/>
                <w:numId w:val="1"/>
              </w:numPr>
              <w:rPr>
                <w:rFonts w:ascii="Aptos" w:eastAsia="Aptos" w:hAnsi="Aptos" w:cs="Aptos"/>
                <w:sz w:val="20"/>
                <w:szCs w:val="20"/>
              </w:rPr>
            </w:pPr>
            <w:r w:rsidRPr="0098715E">
              <w:rPr>
                <w:rFonts w:ascii="Aptos" w:eastAsia="Aptos" w:hAnsi="Aptos" w:cs="Aptos"/>
                <w:sz w:val="20"/>
                <w:szCs w:val="20"/>
              </w:rPr>
              <w:t xml:space="preserve">Contextualise the case </w:t>
            </w:r>
            <w:proofErr w:type="gramStart"/>
            <w:r w:rsidRPr="0098715E">
              <w:rPr>
                <w:rFonts w:ascii="Aptos" w:eastAsia="Aptos" w:hAnsi="Aptos" w:cs="Aptos"/>
                <w:sz w:val="20"/>
                <w:szCs w:val="20"/>
              </w:rPr>
              <w:t>study, and</w:t>
            </w:r>
            <w:proofErr w:type="gramEnd"/>
            <w:r w:rsidRPr="0098715E">
              <w:rPr>
                <w:rFonts w:ascii="Aptos" w:eastAsia="Aptos" w:hAnsi="Aptos" w:cs="Aptos"/>
                <w:sz w:val="20"/>
                <w:szCs w:val="20"/>
              </w:rPr>
              <w:t xml:space="preserve"> highlight the importance of course and its relevance to complex engineering problems and systems thinking.</w:t>
            </w:r>
          </w:p>
        </w:tc>
        <w:tc>
          <w:tcPr>
            <w:tcW w:w="6243" w:type="dxa"/>
            <w:tcMar>
              <w:top w:w="100" w:type="dxa"/>
              <w:left w:w="100" w:type="dxa"/>
              <w:bottom w:w="100" w:type="dxa"/>
              <w:right w:w="100" w:type="dxa"/>
            </w:tcMar>
          </w:tcPr>
          <w:p w14:paraId="65776CDF"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u w:val="single"/>
              </w:rPr>
              <w:t>Suggestive text:</w:t>
            </w:r>
            <w:r w:rsidRPr="0098715E">
              <w:rPr>
                <w:rFonts w:ascii="Aptos" w:eastAsia="Aptos" w:hAnsi="Aptos" w:cs="Aptos"/>
                <w:i/>
                <w:sz w:val="20"/>
                <w:szCs w:val="20"/>
              </w:rPr>
              <w:t xml:space="preserve"> Welcome student, to this online course centred around the case study “Australian Climate Extremes and Building Transport Network Resilience” by Dr. Kristen MacAskill, Dr. Marlies </w:t>
            </w:r>
            <w:proofErr w:type="spellStart"/>
            <w:r w:rsidRPr="0098715E">
              <w:rPr>
                <w:rFonts w:ascii="Aptos" w:eastAsia="Aptos" w:hAnsi="Aptos" w:cs="Aptos"/>
                <w:i/>
                <w:sz w:val="20"/>
                <w:szCs w:val="20"/>
              </w:rPr>
              <w:t>Barendrecht</w:t>
            </w:r>
            <w:proofErr w:type="spellEnd"/>
            <w:r w:rsidRPr="0098715E">
              <w:rPr>
                <w:rFonts w:ascii="Aptos" w:eastAsia="Aptos" w:hAnsi="Aptos" w:cs="Aptos"/>
                <w:i/>
                <w:sz w:val="20"/>
                <w:szCs w:val="20"/>
              </w:rPr>
              <w:t xml:space="preserve">, and Dr. Catherine Tilley. </w:t>
            </w:r>
          </w:p>
          <w:p w14:paraId="31989874"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rPr>
              <w:t>I am … and I would be facilitating this course for you while you navigate through the online pages on the provided link. We will talk about the technical details of accessing the online content very soon (check next section on “technical requirements”).</w:t>
            </w:r>
          </w:p>
          <w:p w14:paraId="461D7421"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rPr>
              <w:t>During this course, you will explore the evolution of the Queensland Reconstruction Authority’s role in enhancing the resilience of Queensland’s road network post-floods, gaining insights into safer complex systems and infrastructure management.</w:t>
            </w:r>
          </w:p>
        </w:tc>
      </w:tr>
    </w:tbl>
    <w:p w14:paraId="148EEA79" w14:textId="77777777" w:rsidR="0098715E" w:rsidRPr="0098715E" w:rsidRDefault="0098715E" w:rsidP="0098715E"/>
    <w:tbl>
      <w:tblPr>
        <w:tblW w:w="9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5019"/>
      </w:tblGrid>
      <w:tr w:rsidR="0098715E" w:rsidRPr="0098715E" w14:paraId="19BEA1DB" w14:textId="77777777" w:rsidTr="0098715E">
        <w:trPr>
          <w:trHeight w:val="5285"/>
        </w:trPr>
        <w:tc>
          <w:tcPr>
            <w:tcW w:w="4385" w:type="dxa"/>
            <w:tcMar>
              <w:top w:w="100" w:type="dxa"/>
              <w:left w:w="100" w:type="dxa"/>
              <w:bottom w:w="100" w:type="dxa"/>
              <w:right w:w="100" w:type="dxa"/>
            </w:tcMar>
          </w:tcPr>
          <w:p w14:paraId="063B9556" w14:textId="77777777" w:rsidR="0098715E" w:rsidRPr="0098715E" w:rsidRDefault="0098715E" w:rsidP="00AD43F1">
            <w:pPr>
              <w:pStyle w:val="Heading6"/>
              <w:rPr>
                <w:i w:val="0"/>
                <w:sz w:val="20"/>
                <w:szCs w:val="20"/>
              </w:rPr>
            </w:pPr>
            <w:r w:rsidRPr="0098715E">
              <w:rPr>
                <w:i w:val="0"/>
                <w:sz w:val="20"/>
                <w:szCs w:val="20"/>
              </w:rPr>
              <w:t xml:space="preserve">Course objectives and outcomes </w:t>
            </w:r>
          </w:p>
          <w:p w14:paraId="36DCB1CD" w14:textId="77777777" w:rsidR="0098715E" w:rsidRPr="0098715E" w:rsidRDefault="0098715E" w:rsidP="00AD43F1">
            <w:pPr>
              <w:numPr>
                <w:ilvl w:val="0"/>
                <w:numId w:val="4"/>
              </w:numPr>
              <w:rPr>
                <w:rFonts w:ascii="Aptos" w:eastAsia="Aptos" w:hAnsi="Aptos" w:cs="Aptos"/>
                <w:color w:val="000000"/>
                <w:sz w:val="20"/>
                <w:szCs w:val="20"/>
              </w:rPr>
            </w:pPr>
            <w:r w:rsidRPr="0098715E">
              <w:rPr>
                <w:rFonts w:ascii="Aptos" w:eastAsia="Aptos" w:hAnsi="Aptos" w:cs="Aptos"/>
                <w:sz w:val="20"/>
                <w:szCs w:val="20"/>
              </w:rPr>
              <w:t xml:space="preserve">Potentially start a </w:t>
            </w:r>
            <w:hyperlink r:id="rId8">
              <w:proofErr w:type="spellStart"/>
              <w:r w:rsidRPr="0098715E">
                <w:rPr>
                  <w:rFonts w:ascii="Aptos" w:eastAsia="Aptos" w:hAnsi="Aptos" w:cs="Aptos"/>
                  <w:color w:val="1155CC"/>
                  <w:sz w:val="20"/>
                  <w:szCs w:val="20"/>
                  <w:u w:val="single"/>
                </w:rPr>
                <w:t>SpeakUp</w:t>
              </w:r>
              <w:proofErr w:type="spellEnd"/>
            </w:hyperlink>
            <w:r w:rsidRPr="0098715E">
              <w:rPr>
                <w:rFonts w:ascii="Aptos" w:eastAsia="Aptos" w:hAnsi="Aptos" w:cs="Aptos"/>
                <w:sz w:val="20"/>
                <w:szCs w:val="20"/>
              </w:rPr>
              <w:t xml:space="preserve"> room, where you can collect ideas from students on </w:t>
            </w:r>
          </w:p>
          <w:p w14:paraId="4B9DC9BB" w14:textId="77777777" w:rsidR="0098715E" w:rsidRPr="0098715E" w:rsidRDefault="0098715E" w:rsidP="00AD43F1">
            <w:pPr>
              <w:numPr>
                <w:ilvl w:val="1"/>
                <w:numId w:val="4"/>
              </w:numPr>
              <w:ind w:left="1133"/>
              <w:rPr>
                <w:rFonts w:ascii="Aptos" w:eastAsia="Aptos" w:hAnsi="Aptos" w:cs="Aptos"/>
                <w:color w:val="000000"/>
                <w:sz w:val="20"/>
                <w:szCs w:val="20"/>
              </w:rPr>
            </w:pPr>
            <w:r w:rsidRPr="0098715E">
              <w:rPr>
                <w:rFonts w:ascii="Aptos" w:eastAsia="Aptos" w:hAnsi="Aptos" w:cs="Aptos"/>
                <w:sz w:val="20"/>
                <w:szCs w:val="20"/>
              </w:rPr>
              <w:t xml:space="preserve">What are systems thinking in your opinion? </w:t>
            </w:r>
          </w:p>
          <w:p w14:paraId="7F50F6FA" w14:textId="77777777" w:rsidR="0098715E" w:rsidRPr="0098715E" w:rsidRDefault="0098715E" w:rsidP="00AD43F1">
            <w:pPr>
              <w:numPr>
                <w:ilvl w:val="1"/>
                <w:numId w:val="4"/>
              </w:numPr>
              <w:ind w:left="1133"/>
              <w:rPr>
                <w:rFonts w:ascii="Aptos" w:eastAsia="Aptos" w:hAnsi="Aptos" w:cs="Aptos"/>
                <w:color w:val="000000"/>
                <w:sz w:val="20"/>
                <w:szCs w:val="20"/>
              </w:rPr>
            </w:pPr>
            <w:r w:rsidRPr="0098715E">
              <w:rPr>
                <w:rFonts w:ascii="Aptos" w:eastAsia="Aptos" w:hAnsi="Aptos" w:cs="Aptos"/>
                <w:sz w:val="20"/>
                <w:szCs w:val="20"/>
              </w:rPr>
              <w:t xml:space="preserve">Why </w:t>
            </w:r>
            <w:proofErr w:type="gramStart"/>
            <w:r w:rsidRPr="0098715E">
              <w:rPr>
                <w:rFonts w:ascii="Aptos" w:eastAsia="Aptos" w:hAnsi="Aptos" w:cs="Aptos"/>
                <w:sz w:val="20"/>
                <w:szCs w:val="20"/>
              </w:rPr>
              <w:t>is</w:t>
            </w:r>
            <w:proofErr w:type="gramEnd"/>
            <w:r w:rsidRPr="0098715E">
              <w:rPr>
                <w:rFonts w:ascii="Aptos" w:eastAsia="Aptos" w:hAnsi="Aptos" w:cs="Aptos"/>
                <w:sz w:val="20"/>
                <w:szCs w:val="20"/>
              </w:rPr>
              <w:t xml:space="preserve"> systems thinking relevant (for the project we are working on/ engineering solutions)? </w:t>
            </w:r>
          </w:p>
          <w:p w14:paraId="601FD22C" w14:textId="77777777" w:rsidR="0098715E" w:rsidRPr="0098715E" w:rsidRDefault="0098715E" w:rsidP="00AD43F1">
            <w:pPr>
              <w:numPr>
                <w:ilvl w:val="0"/>
                <w:numId w:val="4"/>
              </w:numPr>
              <w:rPr>
                <w:rFonts w:ascii="Aptos" w:eastAsia="Aptos" w:hAnsi="Aptos" w:cs="Aptos"/>
                <w:color w:val="000000"/>
                <w:sz w:val="20"/>
                <w:szCs w:val="20"/>
              </w:rPr>
            </w:pPr>
            <w:r w:rsidRPr="0098715E">
              <w:rPr>
                <w:rFonts w:ascii="Aptos" w:eastAsia="Aptos" w:hAnsi="Aptos" w:cs="Aptos"/>
                <w:sz w:val="20"/>
                <w:szCs w:val="20"/>
              </w:rPr>
              <w:t>Provide a brief introduction and/or examples of complex engineering problems and the need for systems thinking for them.</w:t>
            </w:r>
          </w:p>
          <w:p w14:paraId="3FCEDDD7" w14:textId="77777777" w:rsidR="0098715E" w:rsidRPr="0098715E" w:rsidRDefault="0098715E" w:rsidP="00AD43F1">
            <w:pPr>
              <w:numPr>
                <w:ilvl w:val="0"/>
                <w:numId w:val="4"/>
              </w:numPr>
              <w:rPr>
                <w:rFonts w:ascii="Aptos" w:eastAsia="Aptos" w:hAnsi="Aptos" w:cs="Aptos"/>
                <w:color w:val="000000"/>
                <w:sz w:val="20"/>
                <w:szCs w:val="20"/>
              </w:rPr>
            </w:pPr>
            <w:r w:rsidRPr="0098715E">
              <w:rPr>
                <w:rFonts w:ascii="Aptos" w:eastAsia="Aptos" w:hAnsi="Aptos" w:cs="Aptos"/>
                <w:sz w:val="20"/>
                <w:szCs w:val="20"/>
              </w:rPr>
              <w:t>Explain the course objectives:</w:t>
            </w:r>
          </w:p>
          <w:p w14:paraId="7E21649B" w14:textId="77777777" w:rsidR="0098715E" w:rsidRPr="0098715E" w:rsidRDefault="0098715E" w:rsidP="00AD43F1">
            <w:pPr>
              <w:numPr>
                <w:ilvl w:val="1"/>
                <w:numId w:val="4"/>
              </w:numPr>
              <w:rPr>
                <w:rFonts w:ascii="Aptos" w:eastAsia="Aptos" w:hAnsi="Aptos" w:cs="Aptos"/>
                <w:color w:val="000000"/>
                <w:sz w:val="20"/>
                <w:szCs w:val="20"/>
              </w:rPr>
            </w:pPr>
            <w:r w:rsidRPr="0098715E">
              <w:rPr>
                <w:rFonts w:ascii="Aptos" w:eastAsia="Aptos" w:hAnsi="Aptos" w:cs="Aptos"/>
                <w:sz w:val="20"/>
                <w:szCs w:val="20"/>
              </w:rPr>
              <w:t>Develop an understanding of systems approaches in specific contexts.</w:t>
            </w:r>
          </w:p>
          <w:p w14:paraId="621D96E7" w14:textId="77777777" w:rsidR="0098715E" w:rsidRPr="0098715E" w:rsidRDefault="0098715E" w:rsidP="00AD43F1">
            <w:pPr>
              <w:numPr>
                <w:ilvl w:val="1"/>
                <w:numId w:val="4"/>
              </w:numPr>
              <w:rPr>
                <w:rFonts w:ascii="Aptos" w:eastAsia="Aptos" w:hAnsi="Aptos" w:cs="Aptos"/>
                <w:color w:val="000000"/>
                <w:sz w:val="20"/>
                <w:szCs w:val="20"/>
              </w:rPr>
            </w:pPr>
            <w:r w:rsidRPr="0098715E">
              <w:rPr>
                <w:rFonts w:ascii="Aptos" w:eastAsia="Aptos" w:hAnsi="Aptos" w:cs="Aptos"/>
                <w:sz w:val="20"/>
                <w:szCs w:val="20"/>
              </w:rPr>
              <w:t>Acquire skills to apply systems thinking methodologies in problem-solving and decision-making.</w:t>
            </w:r>
          </w:p>
        </w:tc>
        <w:tc>
          <w:tcPr>
            <w:tcW w:w="5019" w:type="dxa"/>
            <w:tcMar>
              <w:top w:w="100" w:type="dxa"/>
              <w:left w:w="100" w:type="dxa"/>
              <w:bottom w:w="100" w:type="dxa"/>
              <w:right w:w="100" w:type="dxa"/>
            </w:tcMar>
          </w:tcPr>
          <w:p w14:paraId="2432FADB"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u w:val="single"/>
              </w:rPr>
              <w:t xml:space="preserve">Suggestive text for points B and C: </w:t>
            </w:r>
            <w:r w:rsidRPr="0098715E">
              <w:rPr>
                <w:rFonts w:ascii="Aptos" w:eastAsia="Aptos" w:hAnsi="Aptos" w:cs="Aptos"/>
                <w:i/>
                <w:sz w:val="20"/>
                <w:szCs w:val="20"/>
              </w:rPr>
              <w:t>The course is divided into three modules to guide you through this case study and equip you with essential skills applicable across various contexts related to systems thinking.</w:t>
            </w:r>
          </w:p>
          <w:p w14:paraId="52CE5C5A" w14:textId="77777777" w:rsidR="0098715E" w:rsidRPr="0098715E" w:rsidRDefault="0098715E" w:rsidP="00AD43F1">
            <w:pPr>
              <w:rPr>
                <w:rFonts w:ascii="Aptos" w:eastAsia="Aptos" w:hAnsi="Aptos" w:cs="Aptos"/>
                <w:i/>
                <w:sz w:val="20"/>
                <w:szCs w:val="20"/>
              </w:rPr>
            </w:pPr>
          </w:p>
          <w:p w14:paraId="51B9DCC2"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rPr>
              <w:t>By the end of this learning journey, you should have:</w:t>
            </w:r>
          </w:p>
          <w:p w14:paraId="6256E62D" w14:textId="77777777" w:rsidR="0098715E" w:rsidRPr="0098715E" w:rsidRDefault="0098715E" w:rsidP="00AD43F1">
            <w:pPr>
              <w:numPr>
                <w:ilvl w:val="0"/>
                <w:numId w:val="5"/>
              </w:numPr>
              <w:ind w:left="425"/>
              <w:rPr>
                <w:rFonts w:ascii="Aptos" w:eastAsia="Aptos" w:hAnsi="Aptos" w:cs="Aptos"/>
                <w:i/>
                <w:sz w:val="20"/>
                <w:szCs w:val="20"/>
              </w:rPr>
            </w:pPr>
            <w:r w:rsidRPr="0098715E">
              <w:rPr>
                <w:rFonts w:ascii="Aptos" w:eastAsia="Aptos" w:hAnsi="Aptos" w:cs="Aptos"/>
                <w:i/>
                <w:sz w:val="20"/>
                <w:szCs w:val="20"/>
              </w:rPr>
              <w:t>Developed an understanding of when systems approaches are relevant within specific contexts.</w:t>
            </w:r>
          </w:p>
          <w:p w14:paraId="3AC9352C" w14:textId="77777777" w:rsidR="0098715E" w:rsidRPr="0098715E" w:rsidRDefault="0098715E" w:rsidP="00AD43F1">
            <w:pPr>
              <w:numPr>
                <w:ilvl w:val="0"/>
                <w:numId w:val="5"/>
              </w:numPr>
              <w:ind w:left="425"/>
              <w:rPr>
                <w:rFonts w:ascii="Aptos" w:eastAsia="Aptos" w:hAnsi="Aptos" w:cs="Aptos"/>
                <w:i/>
                <w:sz w:val="20"/>
                <w:szCs w:val="20"/>
              </w:rPr>
            </w:pPr>
            <w:r w:rsidRPr="0098715E">
              <w:rPr>
                <w:rFonts w:ascii="Aptos" w:eastAsia="Aptos" w:hAnsi="Aptos" w:cs="Aptos"/>
                <w:i/>
                <w:sz w:val="20"/>
                <w:szCs w:val="20"/>
              </w:rPr>
              <w:t>Acquired the skills to apply systems thinking methodologies effectively in problem-solving and decision-making.</w:t>
            </w:r>
          </w:p>
          <w:p w14:paraId="5409B73E" w14:textId="77777777" w:rsidR="0098715E" w:rsidRPr="0098715E" w:rsidRDefault="0098715E" w:rsidP="00AD43F1">
            <w:pPr>
              <w:ind w:left="720"/>
              <w:rPr>
                <w:rFonts w:ascii="Aptos" w:eastAsia="Aptos" w:hAnsi="Aptos" w:cs="Aptos"/>
                <w:i/>
                <w:sz w:val="20"/>
                <w:szCs w:val="20"/>
              </w:rPr>
            </w:pPr>
          </w:p>
          <w:p w14:paraId="13C7B2B2"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u w:val="single"/>
              </w:rPr>
              <w:t>Module 1</w:t>
            </w:r>
            <w:r w:rsidRPr="0098715E">
              <w:rPr>
                <w:rFonts w:ascii="Aptos" w:eastAsia="Aptos" w:hAnsi="Aptos" w:cs="Aptos"/>
                <w:i/>
                <w:sz w:val="20"/>
                <w:szCs w:val="20"/>
              </w:rPr>
              <w:t>: Understand the context, history, and complexity of Queensland’s Reconstruction Authority and Infrastructure Resilience in Disaster Management.</w:t>
            </w:r>
          </w:p>
          <w:p w14:paraId="6F1F2317" w14:textId="77777777" w:rsidR="0098715E" w:rsidRPr="0098715E" w:rsidRDefault="0098715E" w:rsidP="00AD43F1">
            <w:pPr>
              <w:rPr>
                <w:rFonts w:ascii="Aptos" w:eastAsia="Aptos" w:hAnsi="Aptos" w:cs="Aptos"/>
                <w:i/>
                <w:sz w:val="20"/>
                <w:szCs w:val="20"/>
              </w:rPr>
            </w:pPr>
            <w:r w:rsidRPr="0098715E">
              <w:rPr>
                <w:rFonts w:ascii="Aptos" w:eastAsia="Aptos" w:hAnsi="Aptos" w:cs="Aptos"/>
                <w:i/>
                <w:sz w:val="20"/>
                <w:szCs w:val="20"/>
                <w:u w:val="single"/>
              </w:rPr>
              <w:t>Module 2</w:t>
            </w:r>
            <w:r w:rsidRPr="0098715E">
              <w:rPr>
                <w:rFonts w:ascii="Aptos" w:eastAsia="Aptos" w:hAnsi="Aptos" w:cs="Aptos"/>
                <w:i/>
                <w:sz w:val="20"/>
                <w:szCs w:val="20"/>
              </w:rPr>
              <w:t xml:space="preserve">: Explore challenges, funding arrangements, and the dynamics of knowledge exchange in Disaster Resilience. </w:t>
            </w:r>
          </w:p>
          <w:p w14:paraId="17A7C1B3" w14:textId="7F35762D" w:rsidR="0098715E" w:rsidRPr="0098715E" w:rsidRDefault="0098715E" w:rsidP="0098715E">
            <w:pPr>
              <w:rPr>
                <w:rFonts w:ascii="Aptos" w:eastAsia="Aptos" w:hAnsi="Aptos" w:cs="Aptos"/>
                <w:i/>
                <w:sz w:val="20"/>
                <w:szCs w:val="20"/>
                <w:u w:val="single"/>
              </w:rPr>
            </w:pPr>
            <w:r w:rsidRPr="0098715E">
              <w:rPr>
                <w:rFonts w:ascii="Aptos" w:eastAsia="Aptos" w:hAnsi="Aptos" w:cs="Aptos"/>
                <w:i/>
                <w:sz w:val="20"/>
                <w:szCs w:val="20"/>
                <w:u w:val="single"/>
              </w:rPr>
              <w:t>Module 3:</w:t>
            </w:r>
            <w:r w:rsidRPr="0098715E">
              <w:rPr>
                <w:rFonts w:ascii="Aptos" w:eastAsia="Aptos" w:hAnsi="Aptos" w:cs="Aptos"/>
                <w:i/>
                <w:sz w:val="20"/>
                <w:szCs w:val="20"/>
              </w:rPr>
              <w:t xml:space="preserve"> Explore the power of connections and the essentials of effective leadership in Disaster Resilience.</w:t>
            </w:r>
          </w:p>
        </w:tc>
      </w:tr>
    </w:tbl>
    <w:p w14:paraId="65A85A9F" w14:textId="77777777" w:rsidR="0098715E" w:rsidRDefault="0098715E" w:rsidP="0098715E">
      <w:pPr>
        <w:rPr>
          <w:rFonts w:ascii="Aptos" w:eastAsia="Aptos" w:hAnsi="Aptos" w:cs="Aptos"/>
          <w:i/>
          <w:sz w:val="20"/>
          <w:szCs w:val="20"/>
        </w:rPr>
      </w:pPr>
      <w:bookmarkStart w:id="3" w:name="_heading=h.s8mvqj9wvfhl" w:colFirst="0" w:colLast="0"/>
      <w:bookmarkStart w:id="4" w:name="_heading=h.4llqlq8vafl9" w:colFirst="0" w:colLast="0"/>
      <w:bookmarkEnd w:id="3"/>
      <w:bookmarkEnd w:id="4"/>
    </w:p>
    <w:p w14:paraId="41542061" w14:textId="28412154" w:rsidR="0098715E" w:rsidRDefault="0098715E" w:rsidP="0098715E">
      <w:pPr>
        <w:rPr>
          <w:rFonts w:ascii="Aptos" w:eastAsia="Aptos" w:hAnsi="Aptos" w:cs="Aptos"/>
          <w:i/>
          <w:sz w:val="20"/>
          <w:szCs w:val="20"/>
        </w:rPr>
      </w:pPr>
      <w:r>
        <w:rPr>
          <w:rFonts w:ascii="Aptos" w:eastAsia="Aptos" w:hAnsi="Aptos" w:cs="Aptos"/>
          <w:i/>
          <w:sz w:val="20"/>
          <w:szCs w:val="20"/>
        </w:rPr>
        <w:t>T</w:t>
      </w:r>
      <w:r w:rsidRPr="0098715E">
        <w:rPr>
          <w:rFonts w:ascii="Aptos" w:eastAsia="Aptos" w:hAnsi="Aptos" w:cs="Aptos"/>
          <w:i/>
          <w:sz w:val="20"/>
          <w:szCs w:val="20"/>
        </w:rPr>
        <w:t>he first and third modules include both group and individual assessments with respective handouts for working on resilience building based on a scenario. Either assignment can be conducted based on the setting: Group assignment is for an in-person setting, while individual is for online-only setting. The second module involves a bot-based discussion on resilience funding.</w:t>
      </w:r>
    </w:p>
    <w:p w14:paraId="28E7C4A0" w14:textId="77777777" w:rsidR="0098715E" w:rsidRDefault="0098715E" w:rsidP="0098715E"/>
    <w:p w14:paraId="536B1090" w14:textId="77777777" w:rsidR="0098715E" w:rsidRDefault="0098715E" w:rsidP="0098715E">
      <w:pPr>
        <w:pStyle w:val="Heading5"/>
        <w:numPr>
          <w:ilvl w:val="0"/>
          <w:numId w:val="2"/>
        </w:numPr>
        <w:spacing w:after="0"/>
      </w:pPr>
      <w:bookmarkStart w:id="5" w:name="_heading=h.d6rzyzskdqxt" w:colFirst="0" w:colLast="0"/>
      <w:bookmarkEnd w:id="5"/>
      <w:r>
        <w:lastRenderedPageBreak/>
        <w:t>Technical requirements for online content</w:t>
      </w:r>
    </w:p>
    <w:p w14:paraId="4D6750A9" w14:textId="77777777" w:rsidR="0098715E" w:rsidRDefault="0098715E" w:rsidP="0098715E">
      <w:pPr>
        <w:numPr>
          <w:ilvl w:val="1"/>
          <w:numId w:val="2"/>
        </w:numPr>
        <w:ind w:left="850"/>
        <w:rPr>
          <w:rFonts w:ascii="Aptos" w:eastAsia="Aptos" w:hAnsi="Aptos" w:cs="Aptos"/>
        </w:rPr>
      </w:pPr>
      <w:r>
        <w:rPr>
          <w:rFonts w:ascii="Aptos" w:eastAsia="Aptos" w:hAnsi="Aptos" w:cs="Aptos"/>
          <w:u w:val="single"/>
        </w:rPr>
        <w:t>Instructions for accessing course materials and joining virtual sessions</w:t>
      </w:r>
    </w:p>
    <w:p w14:paraId="0F8E2FE6" w14:textId="77777777" w:rsidR="0098715E" w:rsidRDefault="0098715E" w:rsidP="0098715E">
      <w:pPr>
        <w:numPr>
          <w:ilvl w:val="2"/>
          <w:numId w:val="2"/>
        </w:numPr>
        <w:rPr>
          <w:rFonts w:ascii="Aptos" w:eastAsia="Aptos" w:hAnsi="Aptos" w:cs="Aptos"/>
        </w:rPr>
      </w:pPr>
      <w:r>
        <w:rPr>
          <w:rFonts w:ascii="Aptos" w:eastAsia="Aptos" w:hAnsi="Aptos" w:cs="Aptos"/>
        </w:rPr>
        <w:t xml:space="preserve">The course is available to access here: </w:t>
      </w:r>
      <w:hyperlink r:id="rId9">
        <w:r>
          <w:rPr>
            <w:rFonts w:ascii="Aptos" w:eastAsia="Aptos" w:hAnsi="Aptos" w:cs="Aptos"/>
            <w:color w:val="1155CC"/>
            <w:u w:val="single"/>
          </w:rPr>
          <w:t>https://engineeringx.tedi-london.ac.uk/</w:t>
        </w:r>
      </w:hyperlink>
      <w:r>
        <w:rPr>
          <w:rFonts w:ascii="Aptos" w:eastAsia="Aptos" w:hAnsi="Aptos" w:cs="Aptos"/>
          <w:color w:val="1155CC"/>
          <w:u w:val="single"/>
        </w:rPr>
        <w:t xml:space="preserve">. </w:t>
      </w:r>
      <w:r>
        <w:rPr>
          <w:rFonts w:ascii="Aptos" w:eastAsia="Aptos" w:hAnsi="Aptos" w:cs="Aptos"/>
        </w:rPr>
        <w:t>This link may be shared with students in your institution's preferred way (e.g. A post via your institution's VLE for student communication platform). The site is optimised for access via desktop and mobile devices</w:t>
      </w:r>
    </w:p>
    <w:p w14:paraId="0E9A7B05" w14:textId="21689AA1" w:rsidR="0098715E" w:rsidRPr="0098715E" w:rsidRDefault="0098715E" w:rsidP="0098715E">
      <w:pPr>
        <w:numPr>
          <w:ilvl w:val="2"/>
          <w:numId w:val="2"/>
        </w:numPr>
        <w:rPr>
          <w:rFonts w:ascii="Aptos" w:eastAsia="Aptos" w:hAnsi="Aptos" w:cs="Aptos"/>
        </w:rPr>
      </w:pPr>
      <w:r>
        <w:rPr>
          <w:rFonts w:ascii="Aptos" w:eastAsia="Aptos" w:hAnsi="Aptos" w:cs="Aptos"/>
        </w:rPr>
        <w:t xml:space="preserve">Modules 1-3 within the course can be accessed via the home page of the website, </w:t>
      </w:r>
      <w:proofErr w:type="gramStart"/>
      <w:r>
        <w:rPr>
          <w:rFonts w:ascii="Aptos" w:eastAsia="Aptos" w:hAnsi="Aptos" w:cs="Aptos"/>
        </w:rPr>
        <w:t>and also</w:t>
      </w:r>
      <w:proofErr w:type="gramEnd"/>
      <w:r>
        <w:rPr>
          <w:rFonts w:ascii="Aptos" w:eastAsia="Aptos" w:hAnsi="Aptos" w:cs="Aptos"/>
        </w:rPr>
        <w:t xml:space="preserve"> from the top navigation bar on the website. Each module is a self-contained series of digital content that is hosted on a single page within the site. Students can move through the content by scrolling down the page. There are action buttons to 'Continue' at various points in the content after learning activities are completed.</w:t>
      </w:r>
    </w:p>
    <w:p w14:paraId="36ADAE5A" w14:textId="77777777" w:rsidR="0098715E" w:rsidRDefault="0098715E" w:rsidP="0098715E">
      <w:pPr>
        <w:ind w:left="1440"/>
        <w:rPr>
          <w:rFonts w:ascii="Aptos" w:eastAsia="Aptos" w:hAnsi="Aptos" w:cs="Aptos"/>
          <w:u w:val="single"/>
        </w:rPr>
      </w:pPr>
    </w:p>
    <w:p w14:paraId="4006795A" w14:textId="77777777" w:rsidR="0098715E" w:rsidRDefault="0098715E" w:rsidP="0098715E">
      <w:pPr>
        <w:numPr>
          <w:ilvl w:val="1"/>
          <w:numId w:val="2"/>
        </w:numPr>
        <w:ind w:left="850"/>
        <w:rPr>
          <w:rFonts w:ascii="Aptos" w:eastAsia="Aptos" w:hAnsi="Aptos" w:cs="Aptos"/>
        </w:rPr>
      </w:pPr>
      <w:r>
        <w:rPr>
          <w:rFonts w:ascii="Aptos" w:eastAsia="Aptos" w:hAnsi="Aptos" w:cs="Aptos"/>
          <w:u w:val="single"/>
        </w:rPr>
        <w:t xml:space="preserve">Tools and platforms used </w:t>
      </w:r>
    </w:p>
    <w:p w14:paraId="536A568C" w14:textId="77777777" w:rsidR="0098715E" w:rsidRDefault="0098715E" w:rsidP="0098715E">
      <w:pPr>
        <w:numPr>
          <w:ilvl w:val="2"/>
          <w:numId w:val="2"/>
        </w:numPr>
        <w:rPr>
          <w:rFonts w:ascii="Aptos" w:eastAsia="Aptos" w:hAnsi="Aptos" w:cs="Aptos"/>
        </w:rPr>
      </w:pPr>
      <w:r>
        <w:rPr>
          <w:rFonts w:ascii="Aptos" w:eastAsia="Aptos" w:hAnsi="Aptos" w:cs="Aptos"/>
        </w:rPr>
        <w:t>How to collect responses from students</w:t>
      </w:r>
    </w:p>
    <w:p w14:paraId="3187256F" w14:textId="77777777" w:rsidR="0098715E" w:rsidRDefault="0098715E" w:rsidP="0098715E">
      <w:pPr>
        <w:numPr>
          <w:ilvl w:val="3"/>
          <w:numId w:val="2"/>
        </w:numPr>
        <w:rPr>
          <w:rFonts w:ascii="Aptos" w:eastAsia="Aptos" w:hAnsi="Aptos" w:cs="Aptos"/>
        </w:rPr>
      </w:pPr>
      <w:r>
        <w:rPr>
          <w:rFonts w:ascii="Aptos" w:eastAsia="Aptos" w:hAnsi="Aptos" w:cs="Aptos"/>
        </w:rPr>
        <w:t xml:space="preserve">Students are required to complete a group task at the end of each module, by completing tasks in a module handout (this can be downloaded from within the online learning module). </w:t>
      </w:r>
    </w:p>
    <w:p w14:paraId="28B3CE5F" w14:textId="77777777" w:rsidR="0098715E" w:rsidRDefault="0098715E" w:rsidP="0098715E">
      <w:pPr>
        <w:numPr>
          <w:ilvl w:val="3"/>
          <w:numId w:val="2"/>
        </w:numPr>
        <w:rPr>
          <w:rFonts w:ascii="Aptos" w:eastAsia="Aptos" w:hAnsi="Aptos" w:cs="Aptos"/>
        </w:rPr>
      </w:pPr>
      <w:r>
        <w:rPr>
          <w:rFonts w:ascii="Aptos" w:eastAsia="Aptos" w:hAnsi="Aptos" w:cs="Aptos"/>
        </w:rPr>
        <w:t>Facilitators should collect the group responses to these handouts using their institution's recommended submission tool, e.g. upload completed handouts via Blackboard/Canvas/Other LMS</w:t>
      </w:r>
    </w:p>
    <w:p w14:paraId="1500CB16" w14:textId="77777777" w:rsidR="0098715E" w:rsidRDefault="0098715E" w:rsidP="0098715E">
      <w:pPr>
        <w:numPr>
          <w:ilvl w:val="2"/>
          <w:numId w:val="2"/>
        </w:numPr>
        <w:rPr>
          <w:rFonts w:ascii="Aptos" w:eastAsia="Aptos" w:hAnsi="Aptos" w:cs="Aptos"/>
        </w:rPr>
      </w:pPr>
      <w:r>
        <w:rPr>
          <w:rFonts w:ascii="Aptos" w:eastAsia="Aptos" w:hAnsi="Aptos" w:cs="Aptos"/>
        </w:rPr>
        <w:t xml:space="preserve">Interaction with digital assets  </w:t>
      </w:r>
    </w:p>
    <w:p w14:paraId="5A7BC3C9" w14:textId="77777777" w:rsidR="0098715E" w:rsidRDefault="0098715E" w:rsidP="0098715E">
      <w:pPr>
        <w:numPr>
          <w:ilvl w:val="3"/>
          <w:numId w:val="2"/>
        </w:numPr>
        <w:rPr>
          <w:rFonts w:ascii="Aptos" w:eastAsia="Aptos" w:hAnsi="Aptos" w:cs="Aptos"/>
        </w:rPr>
      </w:pPr>
      <w:r>
        <w:rPr>
          <w:rFonts w:ascii="Aptos" w:eastAsia="Aptos" w:hAnsi="Aptos" w:cs="Aptos"/>
        </w:rPr>
        <w:t>All digital assets students require are contained within the online modules. This includes text, videos, documents and interactive learning activities. Clear instructions are provided throughout the online modules on how to use these digital assets.</w:t>
      </w:r>
    </w:p>
    <w:p w14:paraId="5912EA15" w14:textId="77777777" w:rsidR="0098715E" w:rsidRDefault="0098715E" w:rsidP="0098715E">
      <w:pPr>
        <w:numPr>
          <w:ilvl w:val="3"/>
          <w:numId w:val="2"/>
        </w:numPr>
        <w:rPr>
          <w:rFonts w:ascii="Aptos" w:eastAsia="Aptos" w:hAnsi="Aptos" w:cs="Aptos"/>
        </w:rPr>
      </w:pPr>
      <w:r>
        <w:rPr>
          <w:rFonts w:ascii="Aptos" w:eastAsia="Aptos" w:hAnsi="Aptos" w:cs="Aptos"/>
        </w:rPr>
        <w:t>For accessibility needs in the interactive units, make sure to check the resources panel in the top right.</w:t>
      </w:r>
    </w:p>
    <w:p w14:paraId="45AB0F54" w14:textId="77777777" w:rsidR="0098715E" w:rsidRDefault="0098715E" w:rsidP="0098715E">
      <w:pPr>
        <w:numPr>
          <w:ilvl w:val="3"/>
          <w:numId w:val="2"/>
        </w:numPr>
        <w:rPr>
          <w:rFonts w:ascii="Aptos" w:eastAsia="Aptos" w:hAnsi="Aptos" w:cs="Aptos"/>
        </w:rPr>
      </w:pPr>
      <w:r>
        <w:rPr>
          <w:rFonts w:ascii="Aptos" w:eastAsia="Aptos" w:hAnsi="Aptos" w:cs="Aptos"/>
        </w:rPr>
        <w:t>Students are encouraged to use external mind mapping and brainstorming apps such as Miro alongside the module.</w:t>
      </w:r>
    </w:p>
    <w:p w14:paraId="4E77F257" w14:textId="77777777" w:rsidR="0098715E" w:rsidRDefault="0098715E" w:rsidP="0098715E">
      <w:pPr>
        <w:numPr>
          <w:ilvl w:val="2"/>
          <w:numId w:val="2"/>
        </w:numPr>
        <w:rPr>
          <w:rFonts w:ascii="Aptos" w:eastAsia="Aptos" w:hAnsi="Aptos" w:cs="Aptos"/>
        </w:rPr>
      </w:pPr>
      <w:r>
        <w:rPr>
          <w:rFonts w:ascii="Aptos" w:eastAsia="Aptos" w:hAnsi="Aptos" w:cs="Aptos"/>
        </w:rPr>
        <w:t>Students completing this course at TEDI-London will be added to a Microsoft Team during the delivery of the 'ENG2202: Ecological Design' module. The lead academic tutor for the module will communicate with students via Microsoft Teams during delivery of the course.</w:t>
      </w:r>
    </w:p>
    <w:p w14:paraId="6A98D1DD" w14:textId="77777777" w:rsidR="0098715E" w:rsidRDefault="0098715E" w:rsidP="0098715E">
      <w:pPr>
        <w:ind w:left="2160"/>
        <w:rPr>
          <w:rFonts w:ascii="Aptos" w:eastAsia="Aptos" w:hAnsi="Aptos" w:cs="Aptos"/>
        </w:rPr>
      </w:pPr>
    </w:p>
    <w:p w14:paraId="03B7F876" w14:textId="77777777" w:rsidR="0098715E" w:rsidRDefault="0098715E" w:rsidP="0098715E">
      <w:pPr>
        <w:pStyle w:val="Heading5"/>
        <w:numPr>
          <w:ilvl w:val="0"/>
          <w:numId w:val="2"/>
        </w:numPr>
        <w:spacing w:before="0"/>
      </w:pPr>
      <w:bookmarkStart w:id="6" w:name="_heading=h.aww678jmac7c" w:colFirst="0" w:colLast="0"/>
      <w:bookmarkEnd w:id="6"/>
      <w:r>
        <w:t>Overview of hybrid setting and how sessions will be conducted</w:t>
      </w:r>
    </w:p>
    <w:p w14:paraId="43C36CEE" w14:textId="77777777" w:rsidR="0098715E" w:rsidRDefault="0098715E" w:rsidP="0098715E">
      <w:pPr>
        <w:numPr>
          <w:ilvl w:val="1"/>
          <w:numId w:val="2"/>
        </w:numPr>
        <w:rPr>
          <w:rFonts w:ascii="Aptos" w:eastAsia="Aptos" w:hAnsi="Aptos" w:cs="Aptos"/>
          <w:color w:val="000000"/>
        </w:rPr>
      </w:pPr>
      <w:r>
        <w:rPr>
          <w:rFonts w:ascii="Aptos" w:eastAsia="Aptos" w:hAnsi="Aptos" w:cs="Aptos"/>
        </w:rPr>
        <w:t>Describe the hybrid nature of the course, which includes both in-person and online components.</w:t>
      </w:r>
    </w:p>
    <w:p w14:paraId="3B36CACA" w14:textId="77777777" w:rsidR="0098715E" w:rsidRDefault="0098715E" w:rsidP="0098715E">
      <w:pPr>
        <w:numPr>
          <w:ilvl w:val="1"/>
          <w:numId w:val="2"/>
        </w:numPr>
        <w:rPr>
          <w:rFonts w:ascii="Aptos" w:eastAsia="Aptos" w:hAnsi="Aptos" w:cs="Aptos"/>
          <w:color w:val="000000"/>
        </w:rPr>
      </w:pPr>
      <w:r>
        <w:rPr>
          <w:rFonts w:ascii="Aptos" w:eastAsia="Aptos" w:hAnsi="Aptos" w:cs="Aptos"/>
        </w:rPr>
        <w:t>Explain how live sessions will be conducted and how participants can access asynchronous materials.</w:t>
      </w:r>
    </w:p>
    <w:p w14:paraId="400E898A" w14:textId="77777777" w:rsidR="0098715E" w:rsidRDefault="0098715E" w:rsidP="0098715E">
      <w:pPr>
        <w:numPr>
          <w:ilvl w:val="1"/>
          <w:numId w:val="2"/>
        </w:numPr>
        <w:rPr>
          <w:rFonts w:ascii="Aptos" w:eastAsia="Aptos" w:hAnsi="Aptos" w:cs="Aptos"/>
          <w:color w:val="000000"/>
        </w:rPr>
      </w:pPr>
      <w:r>
        <w:t xml:space="preserve">(Optional) </w:t>
      </w:r>
      <w:r>
        <w:rPr>
          <w:rFonts w:ascii="Aptos" w:eastAsia="Aptos" w:hAnsi="Aptos" w:cs="Aptos"/>
        </w:rPr>
        <w:t xml:space="preserve">Conduct a quick icebreaker to engage participants </w:t>
      </w:r>
    </w:p>
    <w:p w14:paraId="08BF4B07" w14:textId="77777777" w:rsidR="0098715E" w:rsidRDefault="0098715E" w:rsidP="0098715E">
      <w:pPr>
        <w:numPr>
          <w:ilvl w:val="3"/>
          <w:numId w:val="2"/>
        </w:numPr>
        <w:rPr>
          <w:rFonts w:ascii="Aptos" w:eastAsia="Aptos" w:hAnsi="Aptos" w:cs="Aptos"/>
        </w:rPr>
      </w:pPr>
      <w:r>
        <w:rPr>
          <w:rFonts w:ascii="Aptos" w:eastAsia="Aptos" w:hAnsi="Aptos" w:cs="Aptos"/>
        </w:rPr>
        <w:t>Option 1: A short introduction round where each participant shares their name, background, and what they hope to gain from the course.</w:t>
      </w:r>
    </w:p>
    <w:p w14:paraId="3D871F31" w14:textId="7FBF30C0" w:rsidR="0098715E" w:rsidRPr="0098715E" w:rsidRDefault="0098715E" w:rsidP="0098715E">
      <w:pPr>
        <w:numPr>
          <w:ilvl w:val="3"/>
          <w:numId w:val="2"/>
        </w:numPr>
        <w:rPr>
          <w:rFonts w:ascii="Aptos" w:eastAsia="Aptos" w:hAnsi="Aptos" w:cs="Aptos"/>
        </w:rPr>
      </w:pPr>
      <w:r>
        <w:rPr>
          <w:rFonts w:ascii="Aptos" w:eastAsia="Aptos" w:hAnsi="Aptos" w:cs="Aptos"/>
        </w:rPr>
        <w:t>Option 2: A fun fact sharing activity where participants share an interesting or unexpected fact about themselves.</w:t>
      </w:r>
    </w:p>
    <w:p w14:paraId="584AC4D4" w14:textId="77777777" w:rsidR="0098715E" w:rsidRDefault="0098715E" w:rsidP="0098715E">
      <w:pPr>
        <w:rPr>
          <w:rFonts w:ascii="Aptos" w:eastAsia="Aptos" w:hAnsi="Aptos" w:cs="Aptos"/>
        </w:rPr>
      </w:pPr>
    </w:p>
    <w:p w14:paraId="476DEE47" w14:textId="77777777" w:rsidR="0098715E" w:rsidRDefault="0098715E" w:rsidP="0098715E">
      <w:pPr>
        <w:pStyle w:val="Heading4"/>
      </w:pPr>
      <w:bookmarkStart w:id="7" w:name="_heading=h.30j0zll" w:colFirst="0" w:colLast="0"/>
      <w:bookmarkEnd w:id="7"/>
      <w:r>
        <w:t>II. Course Structure and Expectations</w:t>
      </w:r>
    </w:p>
    <w:p w14:paraId="5F5AFDE5" w14:textId="77777777" w:rsidR="0098715E" w:rsidRDefault="0098715E" w:rsidP="0098715E">
      <w:pPr>
        <w:pStyle w:val="Heading5"/>
        <w:numPr>
          <w:ilvl w:val="0"/>
          <w:numId w:val="3"/>
        </w:numPr>
        <w:spacing w:after="0"/>
      </w:pPr>
      <w:bookmarkStart w:id="8" w:name="_heading=h.rksjy1ke0vxg" w:colFirst="0" w:colLast="0"/>
      <w:bookmarkEnd w:id="8"/>
      <w:r>
        <w:t>Course Schedule</w:t>
      </w:r>
    </w:p>
    <w:p w14:paraId="40CB2DCE" w14:textId="77777777" w:rsidR="0098715E" w:rsidRDefault="0098715E" w:rsidP="0098715E">
      <w:pPr>
        <w:numPr>
          <w:ilvl w:val="1"/>
          <w:numId w:val="3"/>
        </w:numPr>
        <w:rPr>
          <w:rFonts w:ascii="Aptos" w:eastAsia="Aptos" w:hAnsi="Aptos" w:cs="Aptos"/>
        </w:rPr>
      </w:pPr>
      <w:r>
        <w:rPr>
          <w:rFonts w:ascii="Aptos" w:eastAsia="Aptos" w:hAnsi="Aptos" w:cs="Aptos"/>
        </w:rPr>
        <w:t>Provide a suggestive schedule of sessions, including duration and pace.</w:t>
      </w:r>
    </w:p>
    <w:p w14:paraId="4DA91C17" w14:textId="77777777" w:rsidR="0098715E" w:rsidRDefault="0098715E" w:rsidP="0098715E">
      <w:pPr>
        <w:numPr>
          <w:ilvl w:val="2"/>
          <w:numId w:val="3"/>
        </w:numPr>
        <w:rPr>
          <w:rFonts w:ascii="Aptos" w:eastAsia="Aptos" w:hAnsi="Aptos" w:cs="Aptos"/>
        </w:rPr>
      </w:pPr>
      <w:r>
        <w:rPr>
          <w:rFonts w:ascii="Aptos" w:eastAsia="Aptos" w:hAnsi="Aptos" w:cs="Aptos"/>
        </w:rPr>
        <w:t>Example: 3 modules spread over 6 weeks, with one live session and one asynchronous task per week.</w:t>
      </w:r>
    </w:p>
    <w:p w14:paraId="6BA7798A" w14:textId="77777777" w:rsidR="0098715E" w:rsidRDefault="0098715E" w:rsidP="0098715E">
      <w:pPr>
        <w:numPr>
          <w:ilvl w:val="1"/>
          <w:numId w:val="3"/>
        </w:numPr>
        <w:rPr>
          <w:rFonts w:ascii="Aptos" w:eastAsia="Aptos" w:hAnsi="Aptos" w:cs="Aptos"/>
        </w:rPr>
      </w:pPr>
      <w:r>
        <w:rPr>
          <w:rFonts w:ascii="Aptos" w:eastAsia="Aptos" w:hAnsi="Aptos" w:cs="Aptos"/>
        </w:rPr>
        <w:t>Overview of synchronous (live) and asynchronous (self-paced) activities</w:t>
      </w:r>
    </w:p>
    <w:p w14:paraId="12EEA583" w14:textId="77777777" w:rsidR="0098715E" w:rsidRDefault="0098715E" w:rsidP="0098715E">
      <w:pPr>
        <w:numPr>
          <w:ilvl w:val="2"/>
          <w:numId w:val="3"/>
        </w:numPr>
        <w:rPr>
          <w:rFonts w:ascii="Aptos" w:eastAsia="Aptos" w:hAnsi="Aptos" w:cs="Aptos"/>
        </w:rPr>
      </w:pPr>
      <w:r>
        <w:rPr>
          <w:rFonts w:ascii="Aptos" w:eastAsia="Aptos" w:hAnsi="Aptos" w:cs="Aptos"/>
        </w:rPr>
        <w:t>Explain the difference between synchronous (with group and sessions) and asynchronous (independent) activities.</w:t>
      </w:r>
    </w:p>
    <w:p w14:paraId="7FE5474D" w14:textId="77777777" w:rsidR="0098715E" w:rsidRDefault="0098715E" w:rsidP="0098715E">
      <w:pPr>
        <w:numPr>
          <w:ilvl w:val="2"/>
          <w:numId w:val="3"/>
        </w:numPr>
        <w:rPr>
          <w:rFonts w:ascii="Aptos" w:eastAsia="Aptos" w:hAnsi="Aptos" w:cs="Aptos"/>
        </w:rPr>
      </w:pPr>
      <w:r>
        <w:rPr>
          <w:rFonts w:ascii="Aptos" w:eastAsia="Aptos" w:hAnsi="Aptos" w:cs="Aptos"/>
        </w:rPr>
        <w:t xml:space="preserve">Establish a timeline of touchpoints with students. A suggestive timeline is laid down </w:t>
      </w:r>
      <w:r>
        <w:rPr>
          <w:rFonts w:ascii="Aptos" w:eastAsia="Aptos" w:hAnsi="Aptos" w:cs="Aptos"/>
        </w:rPr>
        <w:t>in Appendix B.</w:t>
      </w:r>
    </w:p>
    <w:p w14:paraId="68504829" w14:textId="77046D62" w:rsidR="0098715E" w:rsidRDefault="0098715E" w:rsidP="0098715E">
      <w:pPr>
        <w:numPr>
          <w:ilvl w:val="2"/>
          <w:numId w:val="3"/>
        </w:numPr>
        <w:rPr>
          <w:rFonts w:ascii="Aptos" w:eastAsia="Aptos" w:hAnsi="Aptos" w:cs="Aptos"/>
        </w:rPr>
      </w:pPr>
      <w:r>
        <w:rPr>
          <w:rFonts w:ascii="Aptos" w:eastAsia="Aptos" w:hAnsi="Aptos" w:cs="Aptos"/>
        </w:rPr>
        <w:t xml:space="preserve"> Develop something similar for your course to facilitate students’ touchpoints with the instructor. </w:t>
      </w:r>
    </w:p>
    <w:p w14:paraId="3248C7C8" w14:textId="77777777" w:rsidR="0098715E" w:rsidRDefault="0098715E" w:rsidP="0098715E">
      <w:pPr>
        <w:pStyle w:val="Heading5"/>
        <w:ind w:left="720"/>
      </w:pPr>
      <w:bookmarkStart w:id="9" w:name="_heading=h.5yscu6kq78lm" w:colFirst="0" w:colLast="0"/>
      <w:bookmarkEnd w:id="9"/>
    </w:p>
    <w:p w14:paraId="2D250A04" w14:textId="77777777" w:rsidR="0098715E" w:rsidRDefault="0098715E" w:rsidP="0098715E">
      <w:pPr>
        <w:pStyle w:val="Heading5"/>
        <w:numPr>
          <w:ilvl w:val="0"/>
          <w:numId w:val="3"/>
        </w:numPr>
      </w:pPr>
      <w:bookmarkStart w:id="10" w:name="_heading=h.801lwuqgyiez" w:colFirst="0" w:colLast="0"/>
      <w:bookmarkEnd w:id="10"/>
      <w:r>
        <w:t>All Module related virtual learning interactions (think about accessibility for all your students!)</w:t>
      </w:r>
    </w:p>
    <w:p w14:paraId="00FE0470" w14:textId="77777777" w:rsidR="0098715E" w:rsidRDefault="0098715E" w:rsidP="0098715E">
      <w:pPr>
        <w:numPr>
          <w:ilvl w:val="1"/>
          <w:numId w:val="3"/>
        </w:numPr>
        <w:rPr>
          <w:rFonts w:ascii="Aptos" w:eastAsia="Aptos" w:hAnsi="Aptos" w:cs="Aptos"/>
          <w:color w:val="000000"/>
        </w:rPr>
      </w:pPr>
      <w:r>
        <w:rPr>
          <w:rFonts w:ascii="Aptos" w:eastAsia="Aptos" w:hAnsi="Aptos" w:cs="Aptos"/>
        </w:rPr>
        <w:t>You can introduce the online instructor “Bernice” who helps the online facilitation for the course (especially for the self-paced, asynchronous tasks): She is provided with a role of the advisory team member guiding participants through the modules, as if they are working with/ for the QRA. Explain Bernice’s role in providing case study information and encouraging critical thinking.</w:t>
      </w:r>
    </w:p>
    <w:p w14:paraId="2BFCED05" w14:textId="77777777" w:rsidR="0098715E" w:rsidRDefault="0098715E" w:rsidP="0098715E">
      <w:pPr>
        <w:numPr>
          <w:ilvl w:val="1"/>
          <w:numId w:val="3"/>
        </w:numPr>
        <w:rPr>
          <w:rFonts w:ascii="Aptos" w:eastAsia="Aptos" w:hAnsi="Aptos" w:cs="Aptos"/>
          <w:color w:val="000000"/>
        </w:rPr>
      </w:pPr>
      <w:r>
        <w:rPr>
          <w:rFonts w:ascii="Aptos" w:eastAsia="Aptos" w:hAnsi="Aptos" w:cs="Aptos"/>
        </w:rPr>
        <w:t>Explain few of the different interactive items in advance e.g. QRA timeline in module 1, drag and drop tasks in module 2</w:t>
      </w:r>
    </w:p>
    <w:p w14:paraId="211D925D" w14:textId="77777777" w:rsidR="0098715E" w:rsidRDefault="0098715E" w:rsidP="0098715E">
      <w:pPr>
        <w:ind w:left="1440"/>
        <w:rPr>
          <w:rFonts w:ascii="Aptos" w:eastAsia="Aptos" w:hAnsi="Aptos" w:cs="Aptos"/>
        </w:rPr>
      </w:pPr>
    </w:p>
    <w:p w14:paraId="0684CBF3" w14:textId="77777777" w:rsidR="0098715E" w:rsidRDefault="0098715E" w:rsidP="0098715E">
      <w:pPr>
        <w:pStyle w:val="Heading5"/>
        <w:numPr>
          <w:ilvl w:val="0"/>
          <w:numId w:val="3"/>
        </w:numPr>
        <w:spacing w:after="0"/>
      </w:pPr>
      <w:bookmarkStart w:id="11" w:name="_heading=h.9b2268r7vsfo" w:colFirst="0" w:colLast="0"/>
      <w:bookmarkEnd w:id="11"/>
      <w:r>
        <w:t>Participation Guidelines</w:t>
      </w:r>
    </w:p>
    <w:p w14:paraId="2F90D00E" w14:textId="77777777" w:rsidR="0098715E" w:rsidRDefault="0098715E" w:rsidP="0098715E">
      <w:pPr>
        <w:numPr>
          <w:ilvl w:val="1"/>
          <w:numId w:val="3"/>
        </w:numPr>
        <w:rPr>
          <w:rFonts w:ascii="Aptos" w:eastAsia="Aptos" w:hAnsi="Aptos" w:cs="Aptos"/>
          <w:color w:val="000000"/>
        </w:rPr>
      </w:pPr>
      <w:r>
        <w:rPr>
          <w:rFonts w:ascii="Aptos" w:eastAsia="Aptos" w:hAnsi="Aptos" w:cs="Aptos"/>
        </w:rPr>
        <w:t>Highlight the importance of attending live sessions and completing self-paced tasks on time.</w:t>
      </w:r>
    </w:p>
    <w:p w14:paraId="618A6FB4" w14:textId="77777777" w:rsidR="0098715E" w:rsidRDefault="0098715E" w:rsidP="0098715E">
      <w:pPr>
        <w:numPr>
          <w:ilvl w:val="1"/>
          <w:numId w:val="3"/>
        </w:numPr>
        <w:rPr>
          <w:rFonts w:ascii="Aptos" w:eastAsia="Aptos" w:hAnsi="Aptos" w:cs="Aptos"/>
          <w:color w:val="000000"/>
        </w:rPr>
      </w:pPr>
      <w:r>
        <w:rPr>
          <w:rFonts w:ascii="Aptos" w:eastAsia="Aptos" w:hAnsi="Aptos" w:cs="Aptos"/>
        </w:rPr>
        <w:t>Set expectations for participation and engagement.</w:t>
      </w:r>
    </w:p>
    <w:p w14:paraId="16EC40F2" w14:textId="77777777" w:rsidR="0098715E" w:rsidRDefault="0098715E" w:rsidP="0098715E">
      <w:pPr>
        <w:numPr>
          <w:ilvl w:val="2"/>
          <w:numId w:val="3"/>
        </w:numPr>
        <w:rPr>
          <w:rFonts w:ascii="Aptos" w:eastAsia="Aptos" w:hAnsi="Aptos" w:cs="Aptos"/>
          <w:color w:val="000000"/>
        </w:rPr>
      </w:pPr>
      <w:r>
        <w:rPr>
          <w:rFonts w:ascii="Aptos" w:eastAsia="Aptos" w:hAnsi="Aptos" w:cs="Aptos"/>
        </w:rPr>
        <w:t xml:space="preserve">Emphasise active participation during live sessions </w:t>
      </w:r>
    </w:p>
    <w:p w14:paraId="008438F8" w14:textId="77777777" w:rsidR="0098715E" w:rsidRDefault="0098715E" w:rsidP="0098715E">
      <w:pPr>
        <w:numPr>
          <w:ilvl w:val="2"/>
          <w:numId w:val="3"/>
        </w:numPr>
        <w:rPr>
          <w:rFonts w:ascii="Aptos" w:eastAsia="Aptos" w:hAnsi="Aptos" w:cs="Aptos"/>
          <w:color w:val="000000"/>
        </w:rPr>
      </w:pPr>
      <w:r>
        <w:rPr>
          <w:rFonts w:ascii="Aptos" w:eastAsia="Aptos" w:hAnsi="Aptos" w:cs="Aptos"/>
        </w:rPr>
        <w:t xml:space="preserve">Emphasise timely completion of assignments. Preferably, set clear deadlines. </w:t>
      </w:r>
    </w:p>
    <w:p w14:paraId="6B8A2648" w14:textId="77777777" w:rsidR="0098715E" w:rsidRDefault="0098715E" w:rsidP="0098715E">
      <w:pPr>
        <w:numPr>
          <w:ilvl w:val="1"/>
          <w:numId w:val="3"/>
        </w:numPr>
        <w:rPr>
          <w:rFonts w:ascii="Aptos" w:eastAsia="Aptos" w:hAnsi="Aptos" w:cs="Aptos"/>
          <w:color w:val="000000"/>
        </w:rPr>
      </w:pPr>
      <w:r>
        <w:rPr>
          <w:rFonts w:ascii="Aptos" w:eastAsia="Aptos" w:hAnsi="Aptos" w:cs="Aptos"/>
        </w:rPr>
        <w:t>Provide guidelines for in-person and online interactions. e.g. encourage respectful communication, active listening, and constructive feedback.</w:t>
      </w:r>
    </w:p>
    <w:p w14:paraId="2DEB8E19" w14:textId="77777777" w:rsidR="0098715E" w:rsidRDefault="0098715E" w:rsidP="0098715E">
      <w:pPr>
        <w:pStyle w:val="Heading5"/>
        <w:ind w:left="720"/>
        <w:rPr>
          <w:rFonts w:ascii="Aptos" w:eastAsia="Aptos" w:hAnsi="Aptos" w:cs="Aptos"/>
        </w:rPr>
      </w:pPr>
      <w:bookmarkStart w:id="12" w:name="_heading=h.3eennchx7odc" w:colFirst="0" w:colLast="0"/>
      <w:bookmarkEnd w:id="12"/>
    </w:p>
    <w:p w14:paraId="40B7105A" w14:textId="77777777" w:rsidR="0098715E" w:rsidRDefault="0098715E" w:rsidP="0098715E">
      <w:pPr>
        <w:pStyle w:val="Heading4"/>
        <w:ind w:left="360"/>
      </w:pPr>
    </w:p>
    <w:p w14:paraId="04184BA9" w14:textId="77777777" w:rsidR="00507ED6" w:rsidRDefault="00507ED6"/>
    <w:sectPr w:rsidR="00507ED6" w:rsidSect="0098715E">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29C1" w14:textId="77777777" w:rsidR="00EC05B8" w:rsidRDefault="00EC05B8" w:rsidP="0098715E">
      <w:pPr>
        <w:spacing w:line="240" w:lineRule="auto"/>
      </w:pPr>
      <w:r>
        <w:separator/>
      </w:r>
    </w:p>
  </w:endnote>
  <w:endnote w:type="continuationSeparator" w:id="0">
    <w:p w14:paraId="58A85D37" w14:textId="77777777" w:rsidR="00EC05B8" w:rsidRDefault="00EC05B8" w:rsidP="00987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A749" w14:textId="77777777" w:rsidR="00EC05B8" w:rsidRDefault="00EC05B8" w:rsidP="0098715E">
      <w:pPr>
        <w:spacing w:line="240" w:lineRule="auto"/>
      </w:pPr>
      <w:r>
        <w:separator/>
      </w:r>
    </w:p>
  </w:footnote>
  <w:footnote w:type="continuationSeparator" w:id="0">
    <w:p w14:paraId="125A15B8" w14:textId="77777777" w:rsidR="00EC05B8" w:rsidRDefault="00EC05B8" w:rsidP="009871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E05"/>
    <w:multiLevelType w:val="multilevel"/>
    <w:tmpl w:val="A35223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91482"/>
    <w:multiLevelType w:val="multilevel"/>
    <w:tmpl w:val="F4529200"/>
    <w:lvl w:ilvl="0">
      <w:start w:val="1"/>
      <w:numFmt w:val="decimal"/>
      <w:lvlText w:val="%1."/>
      <w:lvlJc w:val="left"/>
      <w:pPr>
        <w:ind w:left="425" w:hanging="360"/>
      </w:pPr>
      <w:rPr>
        <w:u w:val="none"/>
      </w:rPr>
    </w:lvl>
    <w:lvl w:ilvl="1">
      <w:start w:val="1"/>
      <w:numFmt w:val="bullet"/>
      <w:lvlText w:val="○"/>
      <w:lvlJc w:val="left"/>
      <w:pPr>
        <w:ind w:left="1440" w:hanging="360"/>
      </w:pPr>
      <w:rPr>
        <w:u w:val="none"/>
      </w:rPr>
    </w:lvl>
    <w:lvl w:ilvl="2">
      <w:start w:val="1"/>
      <w:numFmt w:val="lowerRoman"/>
      <w:lvlText w:val="%3."/>
      <w:lvlJc w:val="left"/>
      <w:pPr>
        <w:ind w:left="1275" w:hanging="360"/>
      </w:pPr>
      <w:rPr>
        <w:u w:val="none"/>
      </w:rPr>
    </w:lvl>
    <w:lvl w:ilvl="3">
      <w:start w:val="1"/>
      <w:numFmt w:val="decimal"/>
      <w:lvlText w:val="%4."/>
      <w:lvlJc w:val="left"/>
      <w:pPr>
        <w:ind w:left="1984"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00B0EDA"/>
    <w:multiLevelType w:val="multilevel"/>
    <w:tmpl w:val="DDD4A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DF33CB"/>
    <w:multiLevelType w:val="multilevel"/>
    <w:tmpl w:val="446446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125" w:hanging="359"/>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FC47385"/>
    <w:multiLevelType w:val="multilevel"/>
    <w:tmpl w:val="167C0B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8038511">
    <w:abstractNumId w:val="0"/>
  </w:num>
  <w:num w:numId="2" w16cid:durableId="1505366082">
    <w:abstractNumId w:val="1"/>
  </w:num>
  <w:num w:numId="3" w16cid:durableId="253323266">
    <w:abstractNumId w:val="4"/>
  </w:num>
  <w:num w:numId="4" w16cid:durableId="1507935787">
    <w:abstractNumId w:val="3"/>
  </w:num>
  <w:num w:numId="5" w16cid:durableId="61251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5E"/>
    <w:rsid w:val="000944E4"/>
    <w:rsid w:val="001B4A0F"/>
    <w:rsid w:val="003C018D"/>
    <w:rsid w:val="00507ED6"/>
    <w:rsid w:val="0098715E"/>
    <w:rsid w:val="00CC621F"/>
    <w:rsid w:val="00EC0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97CAD"/>
  <w15:chartTrackingRefBased/>
  <w15:docId w15:val="{4A8A63C1-9A3F-4147-8048-3A29FD09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5E"/>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98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7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87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87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1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7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87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87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15E"/>
    <w:rPr>
      <w:rFonts w:eastAsiaTheme="majorEastAsia" w:cstheme="majorBidi"/>
      <w:color w:val="272727" w:themeColor="text1" w:themeTint="D8"/>
    </w:rPr>
  </w:style>
  <w:style w:type="paragraph" w:styleId="Title">
    <w:name w:val="Title"/>
    <w:basedOn w:val="Normal"/>
    <w:next w:val="Normal"/>
    <w:link w:val="TitleChar"/>
    <w:uiPriority w:val="10"/>
    <w:qFormat/>
    <w:rsid w:val="0098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15E"/>
    <w:pPr>
      <w:spacing w:before="160"/>
      <w:jc w:val="center"/>
    </w:pPr>
    <w:rPr>
      <w:i/>
      <w:iCs/>
      <w:color w:val="404040" w:themeColor="text1" w:themeTint="BF"/>
    </w:rPr>
  </w:style>
  <w:style w:type="character" w:customStyle="1" w:styleId="QuoteChar">
    <w:name w:val="Quote Char"/>
    <w:basedOn w:val="DefaultParagraphFont"/>
    <w:link w:val="Quote"/>
    <w:uiPriority w:val="29"/>
    <w:rsid w:val="0098715E"/>
    <w:rPr>
      <w:i/>
      <w:iCs/>
      <w:color w:val="404040" w:themeColor="text1" w:themeTint="BF"/>
    </w:rPr>
  </w:style>
  <w:style w:type="paragraph" w:styleId="ListParagraph">
    <w:name w:val="List Paragraph"/>
    <w:basedOn w:val="Normal"/>
    <w:uiPriority w:val="34"/>
    <w:qFormat/>
    <w:rsid w:val="0098715E"/>
    <w:pPr>
      <w:ind w:left="720"/>
      <w:contextualSpacing/>
    </w:pPr>
  </w:style>
  <w:style w:type="character" w:styleId="IntenseEmphasis">
    <w:name w:val="Intense Emphasis"/>
    <w:basedOn w:val="DefaultParagraphFont"/>
    <w:uiPriority w:val="21"/>
    <w:qFormat/>
    <w:rsid w:val="0098715E"/>
    <w:rPr>
      <w:i/>
      <w:iCs/>
      <w:color w:val="0F4761" w:themeColor="accent1" w:themeShade="BF"/>
    </w:rPr>
  </w:style>
  <w:style w:type="paragraph" w:styleId="IntenseQuote">
    <w:name w:val="Intense Quote"/>
    <w:basedOn w:val="Normal"/>
    <w:next w:val="Normal"/>
    <w:link w:val="IntenseQuoteChar"/>
    <w:uiPriority w:val="30"/>
    <w:qFormat/>
    <w:rsid w:val="0098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15E"/>
    <w:rPr>
      <w:i/>
      <w:iCs/>
      <w:color w:val="0F4761" w:themeColor="accent1" w:themeShade="BF"/>
    </w:rPr>
  </w:style>
  <w:style w:type="character" w:styleId="IntenseReference">
    <w:name w:val="Intense Reference"/>
    <w:basedOn w:val="DefaultParagraphFont"/>
    <w:uiPriority w:val="32"/>
    <w:qFormat/>
    <w:rsid w:val="0098715E"/>
    <w:rPr>
      <w:b/>
      <w:bCs/>
      <w:smallCaps/>
      <w:color w:val="0F4761" w:themeColor="accent1" w:themeShade="BF"/>
      <w:spacing w:val="5"/>
    </w:rPr>
  </w:style>
  <w:style w:type="paragraph" w:styleId="Header">
    <w:name w:val="header"/>
    <w:basedOn w:val="Normal"/>
    <w:link w:val="HeaderChar"/>
    <w:uiPriority w:val="99"/>
    <w:unhideWhenUsed/>
    <w:rsid w:val="0098715E"/>
    <w:pPr>
      <w:tabs>
        <w:tab w:val="center" w:pos="4513"/>
        <w:tab w:val="right" w:pos="9026"/>
      </w:tabs>
      <w:spacing w:line="240" w:lineRule="auto"/>
    </w:pPr>
  </w:style>
  <w:style w:type="character" w:customStyle="1" w:styleId="HeaderChar">
    <w:name w:val="Header Char"/>
    <w:basedOn w:val="DefaultParagraphFont"/>
    <w:link w:val="Header"/>
    <w:uiPriority w:val="99"/>
    <w:rsid w:val="0098715E"/>
    <w:rPr>
      <w:rFonts w:ascii="Arial" w:eastAsia="Arial" w:hAnsi="Arial" w:cs="Arial"/>
      <w:kern w:val="0"/>
      <w:lang w:eastAsia="en-GB"/>
      <w14:ligatures w14:val="none"/>
    </w:rPr>
  </w:style>
  <w:style w:type="paragraph" w:styleId="Footer">
    <w:name w:val="footer"/>
    <w:basedOn w:val="Normal"/>
    <w:link w:val="FooterChar"/>
    <w:uiPriority w:val="99"/>
    <w:unhideWhenUsed/>
    <w:rsid w:val="0098715E"/>
    <w:pPr>
      <w:tabs>
        <w:tab w:val="center" w:pos="4513"/>
        <w:tab w:val="right" w:pos="9026"/>
      </w:tabs>
      <w:spacing w:line="240" w:lineRule="auto"/>
    </w:pPr>
  </w:style>
  <w:style w:type="character" w:customStyle="1" w:styleId="FooterChar">
    <w:name w:val="Footer Char"/>
    <w:basedOn w:val="DefaultParagraphFont"/>
    <w:link w:val="Footer"/>
    <w:uiPriority w:val="99"/>
    <w:rsid w:val="0098715E"/>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eakup.info/room" TargetMode="External"/><Relationship Id="rId3" Type="http://schemas.openxmlformats.org/officeDocument/2006/relationships/settings" Target="settings.xml"/><Relationship Id="rId7" Type="http://schemas.openxmlformats.org/officeDocument/2006/relationships/hyperlink" Target="https://engineeringx.tedi-lond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gineeringx.tedi-lond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Rhythima Shinde</dc:creator>
  <cp:keywords/>
  <dc:description/>
  <cp:lastModifiedBy>Rhythima Shinde</cp:lastModifiedBy>
  <cp:revision>1</cp:revision>
  <dcterms:created xsi:type="dcterms:W3CDTF">2025-09-04T14:45:00Z</dcterms:created>
  <dcterms:modified xsi:type="dcterms:W3CDTF">2025-09-04T14:51:00Z</dcterms:modified>
</cp:coreProperties>
</file>